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4E" w:rsidRDefault="00437B49" w:rsidP="00086B4E">
      <w:pPr>
        <w:pStyle w:val="HeadingLevel1"/>
        <w:widowControl/>
        <w:rPr>
          <w:sz w:val="20"/>
          <w:szCs w:val="20"/>
        </w:rPr>
      </w:pPr>
      <w:bookmarkStart w:id="0" w:name="_GoBack"/>
      <w:bookmarkEnd w:id="0"/>
    </w:p>
    <w:p w:rsidR="00086B4E" w:rsidRDefault="00437B49" w:rsidP="00086B4E">
      <w:pPr>
        <w:jc w:val="center"/>
        <w:rPr>
          <w:rFonts w:ascii="Arial" w:hAnsi="Arial" w:cs="Arial"/>
          <w:color w:val="000000"/>
        </w:rPr>
      </w:pPr>
    </w:p>
    <w:p w:rsidR="00086B4E" w:rsidRDefault="00C61DB9" w:rsidP="00086B4E">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086B4E" w:rsidRDefault="00437B49" w:rsidP="00086B4E">
      <w:pPr>
        <w:jc w:val="center"/>
        <w:rPr>
          <w:rFonts w:ascii="Arial" w:hAnsi="Arial" w:cs="Arial"/>
          <w:color w:val="000000"/>
        </w:rPr>
      </w:pPr>
    </w:p>
    <w:p w:rsidR="00086B4E" w:rsidRDefault="00437B49" w:rsidP="00086B4E">
      <w:pPr>
        <w:jc w:val="center"/>
        <w:rPr>
          <w:rFonts w:ascii="Arial" w:hAnsi="Arial" w:cs="Arial"/>
          <w:color w:val="000000"/>
        </w:rPr>
      </w:pPr>
    </w:p>
    <w:p w:rsidR="00086B4E" w:rsidRDefault="00C61DB9" w:rsidP="00086B4E">
      <w:pPr>
        <w:ind w:right="-432"/>
        <w:jc w:val="center"/>
        <w:rPr>
          <w:rFonts w:ascii="Arial" w:hAnsi="Arial" w:cs="Arial"/>
          <w:b/>
          <w:color w:val="000000"/>
        </w:rPr>
      </w:pPr>
      <w:r>
        <w:rPr>
          <w:rFonts w:ascii="Arial" w:hAnsi="Arial" w:cs="Arial"/>
          <w:b/>
          <w:color w:val="000000"/>
        </w:rPr>
        <w:t>JUDGMENT AND TAX LIEN GUARANTEE</w:t>
      </w:r>
    </w:p>
    <w:p w:rsidR="00086B4E" w:rsidRDefault="00C61DB9" w:rsidP="00086B4E">
      <w:pPr>
        <w:pStyle w:val="BodyText"/>
        <w:widowControl/>
        <w:rPr>
          <w:color w:val="000000"/>
        </w:rPr>
      </w:pPr>
      <w:r>
        <w:rPr>
          <w:color w:val="000000"/>
        </w:rPr>
        <w:t xml:space="preserve">SUBJECT TO THE EXCLUSIONS FROM COVERAGE, THE LIMITS OF LIABILITY AND THE CONDITIONS AND STIPULATIONS OF THIS GUARANTEE, </w:t>
      </w:r>
    </w:p>
    <w:p w:rsidR="00086B4E" w:rsidRDefault="00437B49" w:rsidP="00086B4E">
      <w:pPr>
        <w:ind w:right="-432"/>
        <w:jc w:val="both"/>
        <w:rPr>
          <w:rFonts w:ascii="Arial" w:hAnsi="Arial" w:cs="Arial"/>
          <w:color w:val="000000"/>
        </w:rPr>
      </w:pPr>
    </w:p>
    <w:p w:rsidR="00086B4E" w:rsidRDefault="00437B49" w:rsidP="00086B4E">
      <w:pPr>
        <w:jc w:val="both"/>
        <w:rPr>
          <w:rFonts w:ascii="Arial" w:hAnsi="Arial" w:cs="Arial"/>
          <w:color w:val="000000"/>
        </w:rPr>
      </w:pPr>
    </w:p>
    <w:p w:rsidR="00086B4E" w:rsidRDefault="00C61DB9" w:rsidP="00086B4E">
      <w:pPr>
        <w:jc w:val="center"/>
        <w:rPr>
          <w:rFonts w:ascii="Arial" w:hAnsi="Arial" w:cs="Arial"/>
          <w:b/>
          <w:color w:val="000000"/>
        </w:rPr>
      </w:pPr>
      <w:r>
        <w:rPr>
          <w:rFonts w:ascii="Arial" w:hAnsi="Arial" w:cs="Arial"/>
          <w:b/>
          <w:color w:val="000000"/>
        </w:rPr>
        <w:t>WFG NATIONAL TITLE INSURANCE COMPANY,</w:t>
      </w:r>
    </w:p>
    <w:p w:rsidR="00086B4E" w:rsidRDefault="00C61DB9" w:rsidP="00086B4E">
      <w:pPr>
        <w:jc w:val="center"/>
        <w:rPr>
          <w:rFonts w:ascii="Arial" w:hAnsi="Arial" w:cs="Arial"/>
          <w:color w:val="000000"/>
        </w:rPr>
      </w:pPr>
      <w:r>
        <w:rPr>
          <w:rFonts w:ascii="Arial" w:hAnsi="Arial" w:cs="Arial"/>
          <w:color w:val="000000"/>
        </w:rPr>
        <w:t>a South Carolina corporation, herein called the Company</w:t>
      </w:r>
    </w:p>
    <w:p w:rsidR="00086B4E" w:rsidRDefault="00437B49" w:rsidP="00086B4E">
      <w:pPr>
        <w:jc w:val="center"/>
        <w:rPr>
          <w:rFonts w:ascii="Arial" w:hAnsi="Arial" w:cs="Arial"/>
          <w:color w:val="000000"/>
        </w:rPr>
      </w:pPr>
    </w:p>
    <w:p w:rsidR="00086B4E" w:rsidRDefault="00437B49" w:rsidP="00086B4E">
      <w:pPr>
        <w:jc w:val="center"/>
        <w:rPr>
          <w:rFonts w:ascii="Arial" w:hAnsi="Arial" w:cs="Arial"/>
          <w:color w:val="000000"/>
        </w:rPr>
      </w:pPr>
    </w:p>
    <w:p w:rsidR="00086B4E" w:rsidRDefault="00C61DB9" w:rsidP="00086B4E">
      <w:pPr>
        <w:jc w:val="center"/>
        <w:rPr>
          <w:rFonts w:ascii="Arial" w:hAnsi="Arial" w:cs="Arial"/>
          <w:b/>
          <w:color w:val="000000"/>
        </w:rPr>
      </w:pPr>
      <w:r>
        <w:rPr>
          <w:rFonts w:ascii="Arial" w:hAnsi="Arial" w:cs="Arial"/>
          <w:b/>
          <w:color w:val="000000"/>
        </w:rPr>
        <w:t>GUARANTEES</w:t>
      </w:r>
    </w:p>
    <w:p w:rsidR="00086B4E" w:rsidRDefault="00437B49" w:rsidP="00086B4E">
      <w:pPr>
        <w:jc w:val="center"/>
        <w:rPr>
          <w:rFonts w:ascii="Arial" w:hAnsi="Arial" w:cs="Arial"/>
          <w:color w:val="000000"/>
        </w:rPr>
      </w:pPr>
    </w:p>
    <w:p w:rsidR="00086B4E" w:rsidRDefault="00437B49" w:rsidP="00086B4E">
      <w:pPr>
        <w:jc w:val="center"/>
        <w:rPr>
          <w:rFonts w:ascii="Arial" w:hAnsi="Arial" w:cs="Arial"/>
          <w:color w:val="000000"/>
        </w:rPr>
      </w:pPr>
    </w:p>
    <w:p w:rsidR="00086B4E" w:rsidRDefault="00C61DB9" w:rsidP="00086B4E">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086B4E" w:rsidRDefault="00437B49" w:rsidP="00086B4E">
      <w:pPr>
        <w:ind w:left="-288" w:right="-288"/>
        <w:rPr>
          <w:rFonts w:ascii="Arial" w:hAnsi="Arial" w:cs="Arial"/>
          <w:color w:val="000000"/>
          <w:sz w:val="22"/>
          <w:szCs w:val="22"/>
        </w:rPr>
      </w:pPr>
    </w:p>
    <w:p w:rsidR="00086B4E" w:rsidRDefault="00437B49" w:rsidP="00086B4E">
      <w:pPr>
        <w:rPr>
          <w:rFonts w:ascii="Arial" w:hAnsi="Arial" w:cs="Arial"/>
          <w:color w:val="000000"/>
          <w:sz w:val="22"/>
          <w:szCs w:val="22"/>
        </w:rPr>
      </w:pPr>
    </w:p>
    <w:p w:rsidR="00086B4E" w:rsidRDefault="00C61DB9" w:rsidP="00086B4E">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3914AB" w:rsidTr="00086B4E">
        <w:tc>
          <w:tcPr>
            <w:tcW w:w="4230" w:type="dxa"/>
          </w:tcPr>
          <w:p w:rsidR="00086B4E" w:rsidRDefault="00437B49">
            <w:pPr>
              <w:rPr>
                <w:rFonts w:ascii="Arial" w:hAnsi="Arial" w:cs="Arial"/>
                <w:noProof/>
                <w:sz w:val="20"/>
                <w:szCs w:val="20"/>
              </w:rPr>
            </w:pPr>
          </w:p>
          <w:p w:rsidR="00086B4E" w:rsidRDefault="00437B49">
            <w:pPr>
              <w:rPr>
                <w:rFonts w:ascii="Arial" w:hAnsi="Arial" w:cs="Arial"/>
                <w:noProof/>
                <w:sz w:val="20"/>
                <w:szCs w:val="20"/>
              </w:rPr>
            </w:pPr>
          </w:p>
          <w:p w:rsidR="00086B4E" w:rsidRDefault="00437B49">
            <w:pPr>
              <w:rPr>
                <w:rFonts w:ascii="Arial" w:hAnsi="Arial" w:cs="Arial"/>
                <w:noProof/>
                <w:sz w:val="20"/>
                <w:szCs w:val="20"/>
              </w:rPr>
            </w:pPr>
          </w:p>
          <w:p w:rsidR="00086B4E" w:rsidRDefault="00437B49">
            <w:pPr>
              <w:rPr>
                <w:rFonts w:ascii="Arial" w:hAnsi="Arial" w:cs="Arial"/>
                <w:noProof/>
                <w:sz w:val="20"/>
                <w:szCs w:val="20"/>
              </w:rPr>
            </w:pPr>
          </w:p>
          <w:p w:rsidR="00086B4E" w:rsidRDefault="00C61DB9">
            <w:pPr>
              <w:rPr>
                <w:rFonts w:ascii="Arial" w:hAnsi="Arial" w:cs="Arial"/>
                <w:sz w:val="20"/>
                <w:szCs w:val="20"/>
              </w:rPr>
            </w:pPr>
            <w:r>
              <w:rPr>
                <w:rFonts w:ascii="Arial" w:hAnsi="Arial" w:cs="Arial"/>
                <w:noProof/>
                <w:sz w:val="20"/>
                <w:szCs w:val="20"/>
              </w:rPr>
              <w:t>__________________________________</w:t>
            </w:r>
          </w:p>
          <w:p w:rsidR="00086B4E" w:rsidRDefault="00C61DB9">
            <w:pPr>
              <w:rPr>
                <w:rFonts w:ascii="Arial" w:hAnsi="Arial" w:cs="Arial"/>
                <w:sz w:val="20"/>
                <w:szCs w:val="20"/>
              </w:rPr>
            </w:pPr>
            <w:r>
              <w:rPr>
                <w:rFonts w:ascii="Arial" w:hAnsi="Arial" w:cs="Arial"/>
                <w:sz w:val="20"/>
                <w:szCs w:val="20"/>
              </w:rPr>
              <w:t>Authorized Countersignature</w:t>
            </w:r>
          </w:p>
          <w:p w:rsidR="00086B4E" w:rsidRDefault="00437B49">
            <w:pPr>
              <w:rPr>
                <w:rFonts w:ascii="Arial" w:hAnsi="Arial" w:cs="Arial"/>
                <w:sz w:val="20"/>
                <w:szCs w:val="20"/>
              </w:rPr>
            </w:pPr>
          </w:p>
          <w:p w:rsidR="00086B4E" w:rsidRDefault="00437B49">
            <w:pPr>
              <w:rPr>
                <w:rFonts w:ascii="Arial" w:hAnsi="Arial" w:cs="Arial"/>
                <w:sz w:val="20"/>
                <w:szCs w:val="20"/>
              </w:rPr>
            </w:pPr>
          </w:p>
        </w:tc>
        <w:tc>
          <w:tcPr>
            <w:tcW w:w="5994" w:type="dxa"/>
            <w:hideMark/>
          </w:tcPr>
          <w:p w:rsidR="00086B4E" w:rsidRDefault="00C61DB9">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086B4E" w:rsidRDefault="00437B49" w:rsidP="00086B4E">
      <w:pPr>
        <w:ind w:left="720"/>
        <w:rPr>
          <w:rFonts w:ascii="Arial" w:hAnsi="Arial" w:cs="Arial"/>
          <w:sz w:val="18"/>
          <w:szCs w:val="18"/>
        </w:rPr>
      </w:pPr>
    </w:p>
    <w:p w:rsidR="00086B4E" w:rsidRDefault="00437B49" w:rsidP="00086B4E">
      <w:pPr>
        <w:pStyle w:val="HeadingLevel1"/>
        <w:widowControl/>
        <w:rPr>
          <w:sz w:val="20"/>
          <w:szCs w:val="20"/>
        </w:rPr>
      </w:pPr>
    </w:p>
    <w:p w:rsidR="00086B4E" w:rsidRDefault="00437B49" w:rsidP="00086B4E">
      <w:pPr>
        <w:pStyle w:val="HeadingLevel1"/>
        <w:widowControl/>
        <w:rPr>
          <w:sz w:val="20"/>
          <w:szCs w:val="20"/>
        </w:rPr>
      </w:pPr>
    </w:p>
    <w:p w:rsidR="00086B4E" w:rsidRDefault="00C61DB9" w:rsidP="00086B4E">
      <w:pPr>
        <w:widowControl/>
        <w:autoSpaceDE/>
        <w:adjustRightInd/>
        <w:rPr>
          <w:rFonts w:ascii="Arial" w:hAnsi="Arial" w:cs="Arial"/>
          <w:sz w:val="20"/>
          <w:szCs w:val="20"/>
        </w:rPr>
      </w:pPr>
      <w:r>
        <w:rPr>
          <w:rFonts w:ascii="Arial" w:hAnsi="Arial" w:cs="Arial"/>
          <w:sz w:val="20"/>
          <w:szCs w:val="20"/>
        </w:rPr>
        <w:br w:type="page"/>
      </w:r>
    </w:p>
    <w:p w:rsidR="00257BC5" w:rsidRDefault="00437B49" w:rsidP="00257BC5">
      <w:pPr>
        <w:widowControl/>
        <w:rPr>
          <w:rFonts w:ascii="Arial" w:hAnsi="Arial" w:cs="Arial"/>
        </w:rPr>
      </w:pPr>
    </w:p>
    <w:p w:rsidR="00257BC5" w:rsidRDefault="00437B49" w:rsidP="00257BC5">
      <w:pPr>
        <w:widowControl/>
        <w:jc w:val="center"/>
        <w:rPr>
          <w:rFonts w:ascii="Arial" w:hAnsi="Arial" w:cs="Arial"/>
        </w:rPr>
      </w:pPr>
    </w:p>
    <w:p w:rsidR="00257BC5" w:rsidRPr="0010754C" w:rsidRDefault="00C61DB9" w:rsidP="00257BC5">
      <w:pPr>
        <w:widowControl/>
        <w:jc w:val="center"/>
        <w:rPr>
          <w:rFonts w:ascii="Arial" w:hAnsi="Arial" w:cs="Arial"/>
          <w:b/>
          <w:color w:val="000000"/>
        </w:rPr>
      </w:pPr>
      <w:r w:rsidRPr="0010754C">
        <w:rPr>
          <w:rFonts w:ascii="Arial" w:hAnsi="Arial" w:cs="Arial"/>
          <w:b/>
          <w:color w:val="000000"/>
        </w:rPr>
        <w:t>SCHEDULE A</w:t>
      </w:r>
    </w:p>
    <w:p w:rsidR="00257BC5" w:rsidRDefault="00C61DB9" w:rsidP="00257BC5">
      <w:pPr>
        <w:widowControl/>
        <w:jc w:val="center"/>
        <w:rPr>
          <w:rFonts w:ascii="Arial" w:hAnsi="Arial" w:cs="Arial"/>
          <w:color w:val="000000"/>
        </w:rPr>
      </w:pPr>
      <w:r>
        <w:rPr>
          <w:rFonts w:ascii="Arial" w:hAnsi="Arial" w:cs="Arial"/>
          <w:color w:val="000000"/>
        </w:rPr>
        <w:t>Judgment and Tax Lien Guarantee</w:t>
      </w:r>
    </w:p>
    <w:p w:rsidR="00257BC5" w:rsidRDefault="00437B49" w:rsidP="00257BC5">
      <w:pPr>
        <w:widowControl/>
        <w:rPr>
          <w:rFonts w:ascii="Arial" w:hAnsi="Arial" w:cs="Arial"/>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Order No.</w:t>
      </w:r>
      <w:r w:rsidRPr="00086B4E">
        <w:rPr>
          <w:rFonts w:ascii="Arial" w:hAnsi="Arial" w:cs="Arial"/>
          <w:color w:val="000000"/>
          <w:sz w:val="20"/>
          <w:szCs w:val="20"/>
        </w:rPr>
        <w:tab/>
      </w:r>
      <w:r w:rsidRPr="00086B4E">
        <w:rPr>
          <w:rFonts w:ascii="Arial" w:hAnsi="Arial" w:cs="Arial"/>
          <w:color w:val="000000"/>
          <w:sz w:val="20"/>
          <w:szCs w:val="20"/>
        </w:rPr>
        <w:tab/>
      </w: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Liability  $</w:t>
      </w:r>
      <w:r w:rsidRPr="00086B4E">
        <w:rPr>
          <w:rFonts w:ascii="Arial" w:hAnsi="Arial" w:cs="Arial"/>
          <w:color w:val="000000"/>
          <w:sz w:val="20"/>
          <w:szCs w:val="20"/>
        </w:rPr>
        <w:tab/>
      </w: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Fee $</w:t>
      </w:r>
      <w:r w:rsidRPr="00086B4E">
        <w:rPr>
          <w:rFonts w:ascii="Arial" w:hAnsi="Arial" w:cs="Arial"/>
          <w:color w:val="000000"/>
          <w:sz w:val="20"/>
          <w:szCs w:val="20"/>
        </w:rPr>
        <w:tab/>
      </w:r>
      <w:r w:rsidRPr="00086B4E">
        <w:rPr>
          <w:rFonts w:ascii="Arial" w:hAnsi="Arial" w:cs="Arial"/>
          <w:color w:val="000000"/>
          <w:sz w:val="20"/>
          <w:szCs w:val="20"/>
        </w:rPr>
        <w:tab/>
      </w:r>
    </w:p>
    <w:p w:rsidR="00257BC5" w:rsidRPr="00086B4E" w:rsidRDefault="00437B49" w:rsidP="00257BC5">
      <w:pPr>
        <w:widowControl/>
        <w:jc w:val="both"/>
        <w:rPr>
          <w:rFonts w:ascii="Arial" w:hAnsi="Arial" w:cs="Arial"/>
          <w:color w:val="000000"/>
          <w:sz w:val="20"/>
          <w:szCs w:val="20"/>
        </w:rPr>
      </w:pP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tabs>
          <w:tab w:val="left" w:pos="0"/>
        </w:tabs>
        <w:ind w:left="720" w:hanging="720"/>
        <w:jc w:val="both"/>
        <w:rPr>
          <w:rFonts w:ascii="Arial" w:hAnsi="Arial" w:cs="Arial"/>
          <w:color w:val="000000"/>
          <w:sz w:val="20"/>
          <w:szCs w:val="20"/>
        </w:rPr>
      </w:pPr>
      <w:r w:rsidRPr="00086B4E">
        <w:rPr>
          <w:rFonts w:ascii="Arial" w:hAnsi="Arial" w:cs="Arial"/>
          <w:color w:val="000000"/>
          <w:sz w:val="20"/>
          <w:szCs w:val="20"/>
        </w:rPr>
        <w:t>1.</w:t>
      </w:r>
      <w:r w:rsidRPr="00086B4E">
        <w:rPr>
          <w:rFonts w:ascii="Arial" w:hAnsi="Arial" w:cs="Arial"/>
          <w:color w:val="000000"/>
          <w:sz w:val="20"/>
          <w:szCs w:val="20"/>
        </w:rPr>
        <w:tab/>
        <w:t>Name of Assured:</w:t>
      </w: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tabs>
          <w:tab w:val="left" w:pos="0"/>
        </w:tabs>
        <w:ind w:left="720" w:hanging="720"/>
        <w:jc w:val="both"/>
        <w:rPr>
          <w:rFonts w:ascii="Arial" w:hAnsi="Arial" w:cs="Arial"/>
          <w:color w:val="000000"/>
          <w:sz w:val="20"/>
          <w:szCs w:val="20"/>
        </w:rPr>
      </w:pPr>
      <w:r w:rsidRPr="00086B4E">
        <w:rPr>
          <w:rFonts w:ascii="Arial" w:hAnsi="Arial" w:cs="Arial"/>
          <w:color w:val="000000"/>
          <w:sz w:val="20"/>
          <w:szCs w:val="20"/>
        </w:rPr>
        <w:t>2.</w:t>
      </w:r>
      <w:r w:rsidRPr="00086B4E">
        <w:rPr>
          <w:rFonts w:ascii="Arial" w:hAnsi="Arial" w:cs="Arial"/>
          <w:color w:val="000000"/>
          <w:sz w:val="20"/>
          <w:szCs w:val="20"/>
        </w:rPr>
        <w:tab/>
        <w:t>Date of Guarantee:</w:t>
      </w: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The assurances referred to on the face page thereof are:</w:t>
      </w: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 xml:space="preserve">That, according to the indices of the County Recorder of </w:t>
      </w:r>
      <w:r w:rsidRPr="00086B4E">
        <w:rPr>
          <w:rFonts w:ascii="Arial" w:hAnsi="Arial" w:cs="Arial"/>
          <w:color w:val="000000"/>
          <w:sz w:val="20"/>
          <w:szCs w:val="20"/>
        </w:rPr>
        <w:tab/>
      </w:r>
      <w:r w:rsidRPr="00086B4E">
        <w:rPr>
          <w:rFonts w:ascii="Arial" w:hAnsi="Arial" w:cs="Arial"/>
          <w:color w:val="000000"/>
          <w:sz w:val="20"/>
          <w:szCs w:val="20"/>
        </w:rPr>
        <w:tab/>
        <w:t xml:space="preserve"> County, California, for a period of </w:t>
      </w:r>
      <w:r w:rsidRPr="00086B4E">
        <w:rPr>
          <w:rFonts w:ascii="Arial" w:hAnsi="Arial" w:cs="Arial"/>
          <w:color w:val="000000"/>
          <w:sz w:val="20"/>
          <w:szCs w:val="20"/>
        </w:rPr>
        <w:tab/>
      </w:r>
      <w:r w:rsidRPr="00086B4E">
        <w:rPr>
          <w:rFonts w:ascii="Arial" w:hAnsi="Arial" w:cs="Arial"/>
          <w:color w:val="000000"/>
          <w:sz w:val="20"/>
          <w:szCs w:val="20"/>
        </w:rPr>
        <w:tab/>
        <w:t xml:space="preserve"> years immediately prior to the date hereof, there are no</w:t>
      </w: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ind w:firstLine="720"/>
        <w:jc w:val="both"/>
        <w:rPr>
          <w:rFonts w:ascii="Arial" w:hAnsi="Arial" w:cs="Arial"/>
          <w:color w:val="000000"/>
          <w:sz w:val="20"/>
          <w:szCs w:val="20"/>
        </w:rPr>
      </w:pPr>
      <w:r w:rsidRPr="00086B4E">
        <w:rPr>
          <w:rFonts w:ascii="Arial" w:hAnsi="Arial" w:cs="Arial"/>
          <w:color w:val="000000"/>
          <w:sz w:val="20"/>
          <w:szCs w:val="20"/>
        </w:rPr>
        <w:t>*</w:t>
      </w:r>
      <w:r w:rsidRPr="00086B4E">
        <w:rPr>
          <w:rFonts w:ascii="Arial" w:hAnsi="Arial" w:cs="Arial"/>
          <w:color w:val="000000"/>
          <w:sz w:val="20"/>
          <w:szCs w:val="20"/>
        </w:rPr>
        <w:tab/>
        <w:t>Federal Tax Liens</w:t>
      </w:r>
    </w:p>
    <w:p w:rsidR="00257BC5" w:rsidRPr="00086B4E" w:rsidRDefault="00437B49" w:rsidP="00257BC5">
      <w:pPr>
        <w:widowControl/>
        <w:ind w:firstLine="720"/>
        <w:jc w:val="both"/>
        <w:rPr>
          <w:rFonts w:ascii="Arial" w:hAnsi="Arial" w:cs="Arial"/>
          <w:sz w:val="20"/>
          <w:szCs w:val="20"/>
        </w:rPr>
      </w:pPr>
    </w:p>
    <w:p w:rsidR="00257BC5" w:rsidRPr="00086B4E" w:rsidRDefault="00C61DB9" w:rsidP="00257BC5">
      <w:pPr>
        <w:widowControl/>
        <w:ind w:firstLine="720"/>
        <w:jc w:val="both"/>
        <w:rPr>
          <w:rFonts w:ascii="Arial" w:hAnsi="Arial" w:cs="Arial"/>
          <w:color w:val="000000"/>
          <w:sz w:val="20"/>
          <w:szCs w:val="20"/>
        </w:rPr>
      </w:pPr>
      <w:r w:rsidRPr="00086B4E">
        <w:rPr>
          <w:rFonts w:ascii="Arial" w:hAnsi="Arial" w:cs="Arial"/>
          <w:color w:val="000000"/>
          <w:sz w:val="20"/>
          <w:szCs w:val="20"/>
        </w:rPr>
        <w:t>*</w:t>
      </w:r>
      <w:r w:rsidRPr="00086B4E">
        <w:rPr>
          <w:rFonts w:ascii="Arial" w:hAnsi="Arial" w:cs="Arial"/>
          <w:color w:val="000000"/>
          <w:sz w:val="20"/>
          <w:szCs w:val="20"/>
        </w:rPr>
        <w:tab/>
        <w:t>Abstracts of Judgement, or</w:t>
      </w:r>
    </w:p>
    <w:p w:rsidR="00257BC5" w:rsidRPr="00086B4E" w:rsidRDefault="00437B49" w:rsidP="00257BC5">
      <w:pPr>
        <w:widowControl/>
        <w:ind w:firstLine="720"/>
        <w:jc w:val="both"/>
        <w:rPr>
          <w:rFonts w:ascii="Arial" w:hAnsi="Arial" w:cs="Arial"/>
          <w:sz w:val="20"/>
          <w:szCs w:val="20"/>
        </w:rPr>
      </w:pPr>
    </w:p>
    <w:p w:rsidR="00257BC5" w:rsidRPr="00086B4E" w:rsidRDefault="00C61DB9" w:rsidP="00257BC5">
      <w:pPr>
        <w:widowControl/>
        <w:ind w:firstLine="720"/>
        <w:jc w:val="both"/>
        <w:rPr>
          <w:rFonts w:ascii="Arial" w:hAnsi="Arial" w:cs="Arial"/>
          <w:color w:val="000000"/>
          <w:sz w:val="20"/>
          <w:szCs w:val="20"/>
        </w:rPr>
      </w:pPr>
      <w:r w:rsidRPr="00086B4E">
        <w:rPr>
          <w:rFonts w:ascii="Arial" w:hAnsi="Arial" w:cs="Arial"/>
          <w:color w:val="000000"/>
          <w:sz w:val="20"/>
          <w:szCs w:val="20"/>
        </w:rPr>
        <w:t>*</w:t>
      </w:r>
      <w:r w:rsidRPr="00086B4E">
        <w:rPr>
          <w:rFonts w:ascii="Arial" w:hAnsi="Arial" w:cs="Arial"/>
          <w:color w:val="000000"/>
          <w:sz w:val="20"/>
          <w:szCs w:val="20"/>
        </w:rPr>
        <w:tab/>
        <w:t>Certificates of State Tax Liens</w:t>
      </w: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filed or recorded against the herein named parties, other than those for which a release appears in said indices and other than those shown below under Exceptions.</w:t>
      </w: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The parties referred to in this guarantee are as follows:</w:t>
      </w: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437B49" w:rsidP="00257BC5">
      <w:pPr>
        <w:widowControl/>
        <w:jc w:val="both"/>
        <w:rPr>
          <w:rFonts w:ascii="Arial" w:hAnsi="Arial" w:cs="Arial"/>
          <w:sz w:val="20"/>
          <w:szCs w:val="20"/>
        </w:rPr>
      </w:pPr>
    </w:p>
    <w:p w:rsidR="00257BC5" w:rsidRPr="00086B4E" w:rsidRDefault="00C61DB9" w:rsidP="00257BC5">
      <w:pPr>
        <w:widowControl/>
        <w:jc w:val="both"/>
        <w:rPr>
          <w:rFonts w:ascii="Arial" w:hAnsi="Arial" w:cs="Arial"/>
          <w:color w:val="000000"/>
          <w:sz w:val="20"/>
          <w:szCs w:val="20"/>
        </w:rPr>
      </w:pPr>
      <w:r w:rsidRPr="00086B4E">
        <w:rPr>
          <w:rFonts w:ascii="Arial" w:hAnsi="Arial" w:cs="Arial"/>
          <w:color w:val="000000"/>
          <w:sz w:val="20"/>
          <w:szCs w:val="20"/>
        </w:rPr>
        <w:t>Exceptions:</w:t>
      </w:r>
    </w:p>
    <w:p w:rsidR="00257BC5" w:rsidRPr="00086B4E" w:rsidRDefault="00437B49" w:rsidP="00257BC5">
      <w:pPr>
        <w:widowControl/>
        <w:jc w:val="both"/>
        <w:rPr>
          <w:rFonts w:ascii="Arial" w:hAnsi="Arial" w:cs="Arial"/>
          <w:sz w:val="20"/>
          <w:szCs w:val="20"/>
        </w:rPr>
      </w:pPr>
    </w:p>
    <w:p w:rsidR="00086B4E" w:rsidRDefault="00C61DB9">
      <w:pPr>
        <w:widowControl/>
        <w:autoSpaceDE/>
        <w:autoSpaceDN/>
        <w:adjustRightInd/>
      </w:pPr>
      <w:r>
        <w:br w:type="page"/>
      </w:r>
    </w:p>
    <w:p w:rsidR="00086B4E" w:rsidRPr="00EA630C" w:rsidRDefault="00C61DB9" w:rsidP="00086B4E">
      <w:pPr>
        <w:pStyle w:val="HeadingLevel2"/>
        <w:widowControl/>
        <w:spacing w:after="120"/>
        <w:jc w:val="center"/>
        <w:rPr>
          <w:b/>
          <w:sz w:val="22"/>
          <w:szCs w:val="22"/>
        </w:rPr>
      </w:pPr>
      <w:r w:rsidRPr="00EA630C">
        <w:rPr>
          <w:b/>
          <w:sz w:val="22"/>
          <w:szCs w:val="22"/>
        </w:rPr>
        <w:lastRenderedPageBreak/>
        <w:t>SCHEDULE OF EXCLUSIONS FROM COVERAGE OF THIS GUARANTEE</w:t>
      </w:r>
    </w:p>
    <w:p w:rsidR="00086B4E" w:rsidRPr="00EA630C" w:rsidRDefault="00C61DB9" w:rsidP="00086B4E">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1.</w:t>
      </w:r>
      <w:r w:rsidRPr="00EA630C">
        <w:rPr>
          <w:rFonts w:ascii="Arial" w:hAnsi="Arial" w:cs="Arial"/>
          <w:color w:val="000000"/>
          <w:sz w:val="18"/>
          <w:szCs w:val="18"/>
        </w:rPr>
        <w:tab/>
      </w:r>
      <w:r w:rsidRPr="00EA630C">
        <w:rPr>
          <w:rFonts w:ascii="Arial" w:hAnsi="Arial" w:cs="Arial"/>
          <w:i/>
          <w:iCs/>
          <w:color w:val="000000"/>
          <w:sz w:val="18"/>
          <w:szCs w:val="18"/>
        </w:rPr>
        <w:t>Except to the extent</w:t>
      </w:r>
      <w:r w:rsidRPr="00EA630C">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against the title, whether or not shown by the public records.</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086B4E" w:rsidRPr="00EA630C" w:rsidRDefault="00C61DB9" w:rsidP="00086B4E">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2.</w:t>
      </w:r>
      <w:r w:rsidRPr="00EA630C">
        <w:rPr>
          <w:rFonts w:ascii="Arial" w:hAnsi="Arial" w:cs="Arial"/>
          <w:color w:val="000000"/>
          <w:sz w:val="18"/>
          <w:szCs w:val="18"/>
        </w:rPr>
        <w:tab/>
      </w:r>
      <w:r w:rsidRPr="00EA630C">
        <w:rPr>
          <w:rFonts w:ascii="Arial" w:hAnsi="Arial" w:cs="Arial"/>
          <w:i/>
          <w:iCs/>
          <w:color w:val="000000"/>
          <w:sz w:val="18"/>
          <w:szCs w:val="18"/>
        </w:rPr>
        <w:t>Notwithstanding</w:t>
      </w:r>
      <w:r w:rsidRPr="00EA630C">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086B4E" w:rsidRPr="00EA630C" w:rsidRDefault="00C61DB9" w:rsidP="00086B4E">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identity of any party shown or referred to in Schedule A.</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The validity, legal effect or priority of any matter shown or referred to in this Guarantee.</w:t>
      </w:r>
    </w:p>
    <w:p w:rsidR="00086B4E" w:rsidRDefault="00437B49" w:rsidP="00086B4E">
      <w:pPr>
        <w:pStyle w:val="HeadingLevel2"/>
        <w:widowControl/>
        <w:jc w:val="center"/>
        <w:rPr>
          <w:sz w:val="18"/>
          <w:szCs w:val="18"/>
        </w:rPr>
      </w:pPr>
    </w:p>
    <w:p w:rsidR="00086B4E" w:rsidRPr="00EA630C" w:rsidRDefault="00C61DB9" w:rsidP="00086B4E">
      <w:pPr>
        <w:pStyle w:val="HeadingLevel2"/>
        <w:widowControl/>
        <w:spacing w:after="120"/>
        <w:jc w:val="center"/>
        <w:rPr>
          <w:b/>
          <w:sz w:val="22"/>
          <w:szCs w:val="22"/>
        </w:rPr>
      </w:pPr>
      <w:r w:rsidRPr="00EA630C">
        <w:rPr>
          <w:b/>
          <w:sz w:val="22"/>
          <w:szCs w:val="22"/>
        </w:rPr>
        <w:t>GUARANTEE CONDITIONS AND STIPULATIONS</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w:t>
      </w:r>
      <w:r w:rsidRPr="00EA630C">
        <w:rPr>
          <w:rFonts w:ascii="Arial" w:hAnsi="Arial" w:cs="Arial"/>
          <w:b/>
          <w:bCs/>
          <w:color w:val="000000"/>
          <w:sz w:val="18"/>
          <w:szCs w:val="18"/>
        </w:rPr>
        <w:tab/>
        <w:t>Definition of Terms.</w:t>
      </w:r>
    </w:p>
    <w:p w:rsidR="00086B4E" w:rsidRPr="00EA630C" w:rsidRDefault="00C61DB9" w:rsidP="00086B4E">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The following terms when used in the Guarantee mean:</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"Assured":  the party or parties named as the Assured in this Guarantee, or on a supplemental writing executed by the Company.</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"mortgage":  mortgage, deed of trust, trust deed, or other security instrument.</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086B4E" w:rsidRPr="00EA630C" w:rsidRDefault="00C61DB9" w:rsidP="00086B4E">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(e)</w:t>
      </w:r>
      <w:r w:rsidRPr="00EA630C">
        <w:rPr>
          <w:rFonts w:ascii="Arial" w:hAnsi="Arial" w:cs="Arial"/>
          <w:color w:val="000000"/>
          <w:sz w:val="18"/>
          <w:szCs w:val="18"/>
        </w:rPr>
        <w:tab/>
        <w:t>"date":  the effective date.</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2.</w:t>
      </w:r>
      <w:r w:rsidRPr="00EA630C">
        <w:rPr>
          <w:rFonts w:ascii="Arial" w:hAnsi="Arial" w:cs="Arial"/>
          <w:b/>
          <w:bCs/>
          <w:color w:val="000000"/>
          <w:sz w:val="18"/>
          <w:szCs w:val="18"/>
        </w:rPr>
        <w:tab/>
        <w:t>Notice of Claim to be Given by Assured Claimant.</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3.</w:t>
      </w:r>
      <w:r w:rsidRPr="00EA630C">
        <w:rPr>
          <w:rFonts w:ascii="Arial" w:hAnsi="Arial" w:cs="Arial"/>
          <w:b/>
          <w:bCs/>
          <w:color w:val="000000"/>
          <w:sz w:val="18"/>
          <w:szCs w:val="18"/>
        </w:rPr>
        <w:tab/>
        <w:t>No Duty to Defend or Prosecute.</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086B4E" w:rsidRPr="00EA630C" w:rsidRDefault="00C61DB9" w:rsidP="00086B4E">
      <w:pPr>
        <w:widowControl/>
        <w:spacing w:after="120"/>
        <w:ind w:left="720" w:hanging="720"/>
        <w:jc w:val="both"/>
        <w:rPr>
          <w:rFonts w:ascii="Arial" w:hAnsi="Arial" w:cs="Arial"/>
          <w:b/>
          <w:bCs/>
          <w:color w:val="000000"/>
          <w:sz w:val="18"/>
          <w:szCs w:val="18"/>
        </w:rPr>
      </w:pPr>
      <w:r w:rsidRPr="00EA630C">
        <w:rPr>
          <w:rFonts w:ascii="Arial" w:hAnsi="Arial" w:cs="Arial"/>
          <w:b/>
          <w:bCs/>
          <w:color w:val="000000"/>
          <w:sz w:val="18"/>
          <w:szCs w:val="18"/>
        </w:rPr>
        <w:t>4.</w:t>
      </w:r>
      <w:r w:rsidRPr="00EA630C">
        <w:rPr>
          <w:rFonts w:ascii="Arial" w:hAnsi="Arial" w:cs="Arial"/>
          <w:b/>
          <w:bCs/>
          <w:color w:val="000000"/>
          <w:sz w:val="18"/>
          <w:szCs w:val="18"/>
        </w:rPr>
        <w:tab/>
        <w:t>Company's Option to Defend or Prosecute Actions; Duty of Assured Claimant to Cooperate.</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Even though the Company has no duty to defend or prosecute as set forth in Paragraph 3 above:</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5.</w:t>
      </w:r>
      <w:r w:rsidRPr="00EA630C">
        <w:rPr>
          <w:rFonts w:ascii="Arial" w:hAnsi="Arial" w:cs="Arial"/>
          <w:b/>
          <w:bCs/>
          <w:color w:val="000000"/>
          <w:sz w:val="18"/>
          <w:szCs w:val="18"/>
        </w:rPr>
        <w:tab/>
        <w:t>Proof of Loss or Damage.</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6.</w:t>
      </w:r>
      <w:r w:rsidRPr="00EA630C">
        <w:rPr>
          <w:rFonts w:ascii="Arial" w:hAnsi="Arial" w:cs="Arial"/>
          <w:b/>
          <w:bCs/>
          <w:color w:val="000000"/>
          <w:sz w:val="18"/>
          <w:szCs w:val="18"/>
        </w:rPr>
        <w:tab/>
        <w:t>Options to Pay or Otherwise Settle Claims:  Termination of Liability.</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case of a claim under this Guarantee, the Company shall have the following additional options:</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To Pay or Tender Payment of the Amount of Liability or to Purchase the Indebtedness.</w:t>
      </w:r>
    </w:p>
    <w:p w:rsidR="00086B4E" w:rsidRPr="00EA630C" w:rsidRDefault="00C61DB9" w:rsidP="00086B4E">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sidRPr="00EA630C">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086B4E" w:rsidRPr="00EA630C" w:rsidRDefault="00C61DB9" w:rsidP="00086B4E">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 xml:space="preserve">To Pay or Otherwise Settle With Parties Other Than the Assured or With the Assured Claimant. </w:t>
      </w:r>
    </w:p>
    <w:p w:rsidR="00086B4E" w:rsidRPr="00EA630C" w:rsidRDefault="00C61DB9" w:rsidP="00086B4E">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7.</w:t>
      </w:r>
      <w:r w:rsidRPr="00EA630C">
        <w:rPr>
          <w:rFonts w:ascii="Arial" w:hAnsi="Arial" w:cs="Arial"/>
          <w:b/>
          <w:bCs/>
          <w:color w:val="000000"/>
          <w:sz w:val="18"/>
          <w:szCs w:val="18"/>
        </w:rPr>
        <w:tab/>
        <w:t>Determination and Extent of Liability.</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liability of the Company under this Guarantee to the Assured shall not exceed the least of:</w:t>
      </w:r>
    </w:p>
    <w:p w:rsidR="00086B4E" w:rsidRPr="00EA630C" w:rsidRDefault="00C61DB9" w:rsidP="00086B4E">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amount of liability stated in Schedule A or in Part 2;</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086B4E" w:rsidRPr="00EA630C" w:rsidRDefault="00C61DB9" w:rsidP="00086B4E">
      <w:pPr>
        <w:widowControl/>
        <w:spacing w:after="120"/>
        <w:jc w:val="both"/>
        <w:rPr>
          <w:rFonts w:ascii="Arial" w:hAnsi="Arial" w:cs="Arial"/>
          <w:color w:val="000000"/>
          <w:sz w:val="18"/>
          <w:szCs w:val="18"/>
        </w:rPr>
      </w:pPr>
      <w:r w:rsidRPr="00EA630C">
        <w:rPr>
          <w:rFonts w:ascii="Arial" w:hAnsi="Arial" w:cs="Arial"/>
          <w:b/>
          <w:bCs/>
          <w:color w:val="000000"/>
          <w:sz w:val="18"/>
          <w:szCs w:val="18"/>
        </w:rPr>
        <w:t>8.</w:t>
      </w:r>
      <w:r w:rsidRPr="00EA630C">
        <w:rPr>
          <w:rFonts w:ascii="Arial" w:hAnsi="Arial" w:cs="Arial"/>
          <w:b/>
          <w:bCs/>
          <w:color w:val="000000"/>
          <w:sz w:val="18"/>
          <w:szCs w:val="18"/>
        </w:rPr>
        <w:tab/>
        <w:t>Limitation of Liability</w:t>
      </w:r>
      <w:r w:rsidRPr="00EA630C">
        <w:rPr>
          <w:rFonts w:ascii="Arial" w:hAnsi="Arial" w:cs="Arial"/>
          <w:color w:val="000000"/>
          <w:sz w:val="18"/>
          <w:szCs w:val="18"/>
        </w:rPr>
        <w:t>.</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9.</w:t>
      </w:r>
      <w:r w:rsidRPr="00EA630C">
        <w:rPr>
          <w:rFonts w:ascii="Arial" w:hAnsi="Arial" w:cs="Arial"/>
          <w:b/>
          <w:bCs/>
          <w:color w:val="000000"/>
          <w:sz w:val="18"/>
          <w:szCs w:val="18"/>
        </w:rPr>
        <w:tab/>
        <w:t>Reduction of Liability or Termination of Liability.</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All payments under this Guarantee, except payments made for costs, attorneys' fees and expenses pursuant to Paragraph 4 shall reduce the amount of liability pro tanto.</w:t>
      </w:r>
    </w:p>
    <w:p w:rsidR="00086B4E" w:rsidRPr="00EA630C" w:rsidRDefault="00C61DB9" w:rsidP="00086B4E">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10.</w:t>
      </w:r>
      <w:r w:rsidRPr="00EA630C">
        <w:rPr>
          <w:rFonts w:ascii="Arial" w:hAnsi="Arial" w:cs="Arial"/>
          <w:b/>
          <w:bCs/>
          <w:color w:val="000000"/>
          <w:sz w:val="18"/>
          <w:szCs w:val="18"/>
        </w:rPr>
        <w:tab/>
        <w:t>Payment of Loss.</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lastRenderedPageBreak/>
        <w:t>(b)</w:t>
      </w:r>
      <w:r w:rsidRPr="00EA630C">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086B4E" w:rsidRPr="00EA630C" w:rsidRDefault="00C61DB9" w:rsidP="00086B4E">
      <w:pPr>
        <w:widowControl/>
        <w:spacing w:after="120"/>
        <w:jc w:val="both"/>
        <w:rPr>
          <w:rFonts w:ascii="Arial" w:hAnsi="Arial" w:cs="Arial"/>
          <w:color w:val="000000"/>
          <w:sz w:val="18"/>
          <w:szCs w:val="18"/>
        </w:rPr>
      </w:pPr>
      <w:r w:rsidRPr="00EA630C">
        <w:rPr>
          <w:rFonts w:ascii="Arial" w:hAnsi="Arial" w:cs="Arial"/>
          <w:b/>
          <w:bCs/>
          <w:color w:val="000000"/>
          <w:sz w:val="18"/>
          <w:szCs w:val="18"/>
        </w:rPr>
        <w:t>11.</w:t>
      </w:r>
      <w:r w:rsidRPr="00EA630C">
        <w:rPr>
          <w:rFonts w:ascii="Arial" w:hAnsi="Arial" w:cs="Arial"/>
          <w:b/>
          <w:bCs/>
          <w:color w:val="000000"/>
          <w:sz w:val="18"/>
          <w:szCs w:val="18"/>
        </w:rPr>
        <w:tab/>
        <w:t>Subrogation Upon Payment or Settlement</w:t>
      </w:r>
      <w:r w:rsidRPr="00EA630C">
        <w:rPr>
          <w:rFonts w:ascii="Arial" w:hAnsi="Arial" w:cs="Arial"/>
          <w:color w:val="000000"/>
          <w:sz w:val="18"/>
          <w:szCs w:val="18"/>
        </w:rPr>
        <w:t>.</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086B4E" w:rsidRPr="00EA630C" w:rsidRDefault="00C61DB9" w:rsidP="00086B4E">
      <w:pPr>
        <w:widowControl/>
        <w:spacing w:after="120"/>
        <w:ind w:left="720" w:right="144"/>
        <w:jc w:val="both"/>
        <w:rPr>
          <w:rFonts w:ascii="Arial" w:hAnsi="Arial" w:cs="Arial"/>
          <w:color w:val="000000"/>
          <w:sz w:val="18"/>
          <w:szCs w:val="18"/>
        </w:rPr>
      </w:pPr>
      <w:r w:rsidRPr="00EA630C">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086B4E" w:rsidRPr="00EA630C" w:rsidRDefault="00C61DB9" w:rsidP="00086B4E">
      <w:pPr>
        <w:widowControl/>
        <w:spacing w:after="120"/>
        <w:jc w:val="both"/>
        <w:rPr>
          <w:rFonts w:ascii="Arial" w:hAnsi="Arial" w:cs="Arial"/>
          <w:color w:val="000000"/>
          <w:sz w:val="18"/>
          <w:szCs w:val="18"/>
        </w:rPr>
      </w:pPr>
      <w:r w:rsidRPr="00EA630C">
        <w:rPr>
          <w:rFonts w:ascii="Arial" w:hAnsi="Arial" w:cs="Arial"/>
          <w:b/>
          <w:bCs/>
          <w:color w:val="000000"/>
          <w:sz w:val="18"/>
          <w:szCs w:val="18"/>
        </w:rPr>
        <w:t>12.</w:t>
      </w:r>
      <w:r w:rsidRPr="00EA630C">
        <w:rPr>
          <w:rFonts w:ascii="Arial" w:hAnsi="Arial" w:cs="Arial"/>
          <w:b/>
          <w:bCs/>
          <w:color w:val="000000"/>
          <w:sz w:val="18"/>
          <w:szCs w:val="18"/>
        </w:rPr>
        <w:tab/>
        <w:t>Arbitration</w:t>
      </w:r>
      <w:r w:rsidRPr="00EA630C">
        <w:rPr>
          <w:rFonts w:ascii="Arial" w:hAnsi="Arial" w:cs="Arial"/>
          <w:color w:val="000000"/>
          <w:sz w:val="18"/>
          <w:szCs w:val="18"/>
        </w:rPr>
        <w:t>.</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086B4E" w:rsidRPr="00EA630C" w:rsidRDefault="00C61DB9" w:rsidP="00086B4E">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law of the situs of the land shall apply to an arbitration under the Title Insurance Arbitration Rules.</w:t>
      </w:r>
    </w:p>
    <w:p w:rsidR="00086B4E" w:rsidRPr="00EA630C" w:rsidRDefault="00C61DB9" w:rsidP="00086B4E">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 copy of the Rules may be obtained from the Company upon request.</w:t>
      </w:r>
    </w:p>
    <w:p w:rsidR="00086B4E" w:rsidRPr="00EA630C" w:rsidRDefault="00C61DB9" w:rsidP="00086B4E">
      <w:pPr>
        <w:widowControl/>
        <w:spacing w:after="120"/>
        <w:jc w:val="both"/>
        <w:rPr>
          <w:rFonts w:ascii="Arial" w:hAnsi="Arial" w:cs="Arial"/>
          <w:b/>
          <w:bCs/>
          <w:color w:val="000000"/>
          <w:sz w:val="18"/>
          <w:szCs w:val="18"/>
        </w:rPr>
      </w:pPr>
      <w:r>
        <w:rPr>
          <w:rFonts w:ascii="Arial" w:hAnsi="Arial" w:cs="Arial"/>
          <w:b/>
          <w:bCs/>
          <w:color w:val="000000"/>
          <w:sz w:val="18"/>
          <w:szCs w:val="18"/>
        </w:rPr>
        <w:t>1</w:t>
      </w:r>
      <w:r w:rsidRPr="00EA630C">
        <w:rPr>
          <w:rFonts w:ascii="Arial" w:hAnsi="Arial" w:cs="Arial"/>
          <w:b/>
          <w:bCs/>
          <w:color w:val="000000"/>
          <w:sz w:val="18"/>
          <w:szCs w:val="18"/>
        </w:rPr>
        <w:t>3.</w:t>
      </w:r>
      <w:r w:rsidRPr="00EA630C">
        <w:rPr>
          <w:rFonts w:ascii="Arial" w:hAnsi="Arial" w:cs="Arial"/>
          <w:b/>
          <w:bCs/>
          <w:color w:val="000000"/>
          <w:sz w:val="18"/>
          <w:szCs w:val="18"/>
        </w:rPr>
        <w:tab/>
        <w:t>Liability Limited to This Guarantee; Guarantee Entire Contract.</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Any claim of loss or damage, whether or not based on negligence, or any action asserting such claim, shall be restricted to this Guarantee.</w:t>
      </w:r>
    </w:p>
    <w:p w:rsidR="00086B4E" w:rsidRPr="00EA630C" w:rsidRDefault="00C61DB9" w:rsidP="00086B4E">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086B4E" w:rsidRPr="00EA630C" w:rsidRDefault="00C61DB9" w:rsidP="00086B4E">
      <w:pPr>
        <w:widowControl/>
        <w:spacing w:after="120"/>
        <w:jc w:val="both"/>
        <w:rPr>
          <w:rFonts w:ascii="Arial" w:hAnsi="Arial" w:cs="Arial"/>
          <w:color w:val="000000"/>
          <w:sz w:val="18"/>
          <w:szCs w:val="18"/>
        </w:rPr>
      </w:pPr>
      <w:r w:rsidRPr="00EA630C">
        <w:rPr>
          <w:rFonts w:ascii="Arial" w:hAnsi="Arial" w:cs="Arial"/>
          <w:b/>
          <w:bCs/>
          <w:color w:val="000000"/>
          <w:sz w:val="18"/>
          <w:szCs w:val="18"/>
        </w:rPr>
        <w:t>14.</w:t>
      </w:r>
      <w:r w:rsidRPr="00EA630C">
        <w:rPr>
          <w:rFonts w:ascii="Arial" w:hAnsi="Arial" w:cs="Arial"/>
          <w:b/>
          <w:bCs/>
          <w:color w:val="000000"/>
          <w:sz w:val="18"/>
          <w:szCs w:val="18"/>
        </w:rPr>
        <w:tab/>
        <w:t>Notices, Where Sent.</w:t>
      </w:r>
      <w:r w:rsidRPr="00EA630C">
        <w:rPr>
          <w:rFonts w:ascii="Arial" w:hAnsi="Arial" w:cs="Arial"/>
          <w:color w:val="000000"/>
          <w:sz w:val="18"/>
          <w:szCs w:val="18"/>
        </w:rPr>
        <w:t xml:space="preserve"> </w:t>
      </w:r>
    </w:p>
    <w:p w:rsidR="00086B4E" w:rsidRDefault="00C61DB9" w:rsidP="00086B4E">
      <w:pPr>
        <w:widowControl/>
        <w:spacing w:after="120"/>
        <w:ind w:left="720"/>
        <w:rPr>
          <w:rFonts w:ascii="Arial" w:hAnsi="Arial" w:cs="Arial"/>
          <w:color w:val="000000"/>
          <w:sz w:val="18"/>
          <w:szCs w:val="18"/>
        </w:rPr>
      </w:pPr>
      <w:r w:rsidRPr="00EA630C">
        <w:rPr>
          <w:rFonts w:ascii="Arial" w:hAnsi="Arial" w:cs="Arial"/>
          <w:color w:val="000000"/>
          <w:sz w:val="18"/>
          <w:szCs w:val="18"/>
        </w:rPr>
        <w:t xml:space="preserve">All notices required to be given the Company and any statement in writing required to be furnished the Company shall include the number of this Guarantee and shall </w:t>
      </w:r>
      <w:r>
        <w:rPr>
          <w:rFonts w:ascii="Arial" w:hAnsi="Arial" w:cs="Arial"/>
          <w:color w:val="000000"/>
          <w:sz w:val="18"/>
          <w:szCs w:val="18"/>
        </w:rPr>
        <w:t>be addressed to the Company at 12909 SW 68</w:t>
      </w:r>
      <w:r w:rsidRPr="00EA630C">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r w:rsidRPr="00EA630C">
        <w:rPr>
          <w:rFonts w:ascii="Arial" w:hAnsi="Arial" w:cs="Arial"/>
          <w:color w:val="000000"/>
          <w:sz w:val="18"/>
          <w:szCs w:val="18"/>
        </w:rPr>
        <w:t>.</w:t>
      </w:r>
    </w:p>
    <w:p w:rsidR="00525EB0" w:rsidRDefault="00437B49" w:rsidP="00525EB0">
      <w:pPr>
        <w:widowControl/>
        <w:spacing w:after="120"/>
        <w:rPr>
          <w:rFonts w:ascii="Arial" w:hAnsi="Arial" w:cs="Arial"/>
          <w:color w:val="000000"/>
          <w:sz w:val="18"/>
          <w:szCs w:val="18"/>
        </w:rPr>
      </w:pPr>
    </w:p>
    <w:sectPr w:rsidR="00525EB0" w:rsidSect="00086B4E">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49" w:rsidRDefault="00437B49">
      <w:r>
        <w:separator/>
      </w:r>
    </w:p>
  </w:endnote>
  <w:endnote w:type="continuationSeparator" w:id="0">
    <w:p w:rsidR="00437B49" w:rsidRDefault="0043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536674" w:rsidRDefault="00C61DB9" w:rsidP="00086B4E">
            <w:pPr>
              <w:pStyle w:val="Footer"/>
              <w:jc w:val="center"/>
              <w:rPr>
                <w:rFonts w:ascii="Arial" w:hAnsi="Arial" w:cs="Arial"/>
                <w:bCs/>
                <w:sz w:val="16"/>
                <w:szCs w:val="16"/>
              </w:rPr>
            </w:pPr>
            <w:r w:rsidRPr="00BC34A7">
              <w:rPr>
                <w:rFonts w:ascii="Arial" w:hAnsi="Arial" w:cs="Arial"/>
                <w:sz w:val="16"/>
                <w:szCs w:val="16"/>
              </w:rPr>
              <w:t xml:space="preserve">Page </w:t>
            </w:r>
            <w:r w:rsidRPr="00BC34A7">
              <w:rPr>
                <w:rFonts w:ascii="Arial" w:hAnsi="Arial" w:cs="Arial"/>
                <w:bCs/>
                <w:sz w:val="16"/>
                <w:szCs w:val="16"/>
              </w:rPr>
              <w:fldChar w:fldCharType="begin"/>
            </w:r>
            <w:r w:rsidRPr="00BC34A7">
              <w:rPr>
                <w:rFonts w:ascii="Arial" w:hAnsi="Arial" w:cs="Arial"/>
                <w:bCs/>
                <w:sz w:val="16"/>
                <w:szCs w:val="16"/>
              </w:rPr>
              <w:instrText xml:space="preserve"> PAGE </w:instrText>
            </w:r>
            <w:r w:rsidRPr="00BC34A7">
              <w:rPr>
                <w:rFonts w:ascii="Arial" w:hAnsi="Arial" w:cs="Arial"/>
                <w:bCs/>
                <w:sz w:val="16"/>
                <w:szCs w:val="16"/>
              </w:rPr>
              <w:fldChar w:fldCharType="separate"/>
            </w:r>
            <w:r w:rsidR="00D66DD1">
              <w:rPr>
                <w:rFonts w:ascii="Arial" w:hAnsi="Arial" w:cs="Arial"/>
                <w:bCs/>
                <w:noProof/>
                <w:sz w:val="16"/>
                <w:szCs w:val="16"/>
              </w:rPr>
              <w:t>1</w:t>
            </w:r>
            <w:r w:rsidRPr="00BC34A7">
              <w:rPr>
                <w:rFonts w:ascii="Arial" w:hAnsi="Arial" w:cs="Arial"/>
                <w:bCs/>
                <w:sz w:val="16"/>
                <w:szCs w:val="16"/>
              </w:rPr>
              <w:fldChar w:fldCharType="end"/>
            </w:r>
            <w:r w:rsidRPr="00BC34A7">
              <w:rPr>
                <w:rFonts w:ascii="Arial" w:hAnsi="Arial" w:cs="Arial"/>
                <w:sz w:val="16"/>
                <w:szCs w:val="16"/>
              </w:rPr>
              <w:t xml:space="preserve"> of </w:t>
            </w:r>
            <w:r w:rsidRPr="00BC34A7">
              <w:rPr>
                <w:rFonts w:ascii="Arial" w:hAnsi="Arial" w:cs="Arial"/>
                <w:bCs/>
                <w:sz w:val="16"/>
                <w:szCs w:val="16"/>
              </w:rPr>
              <w:fldChar w:fldCharType="begin"/>
            </w:r>
            <w:r w:rsidRPr="00BC34A7">
              <w:rPr>
                <w:rFonts w:ascii="Arial" w:hAnsi="Arial" w:cs="Arial"/>
                <w:bCs/>
                <w:sz w:val="16"/>
                <w:szCs w:val="16"/>
              </w:rPr>
              <w:instrText xml:space="preserve"> NUMPAGES  </w:instrText>
            </w:r>
            <w:r w:rsidRPr="00BC34A7">
              <w:rPr>
                <w:rFonts w:ascii="Arial" w:hAnsi="Arial" w:cs="Arial"/>
                <w:bCs/>
                <w:sz w:val="16"/>
                <w:szCs w:val="16"/>
              </w:rPr>
              <w:fldChar w:fldCharType="separate"/>
            </w:r>
            <w:r w:rsidR="00D66DD1">
              <w:rPr>
                <w:rFonts w:ascii="Arial" w:hAnsi="Arial" w:cs="Arial"/>
                <w:bCs/>
                <w:noProof/>
                <w:sz w:val="16"/>
                <w:szCs w:val="16"/>
              </w:rPr>
              <w:t>6</w:t>
            </w:r>
            <w:r w:rsidRPr="00BC34A7">
              <w:rPr>
                <w:rFonts w:ascii="Arial" w:hAnsi="Arial" w:cs="Arial"/>
                <w:bCs/>
                <w:sz w:val="16"/>
                <w:szCs w:val="16"/>
              </w:rPr>
              <w:fldChar w:fldCharType="end"/>
            </w:r>
          </w:p>
          <w:p w:rsidR="00536674" w:rsidRDefault="00536674" w:rsidP="00086B4E">
            <w:pPr>
              <w:pStyle w:val="Footer"/>
              <w:jc w:val="center"/>
              <w:rPr>
                <w:rFonts w:ascii="Arial" w:hAnsi="Arial" w:cs="Arial"/>
                <w:bCs/>
                <w:sz w:val="16"/>
                <w:szCs w:val="16"/>
              </w:rPr>
            </w:pPr>
          </w:p>
          <w:p w:rsidR="00536674" w:rsidRPr="00BC34A7" w:rsidRDefault="00536674" w:rsidP="00536674">
            <w:pPr>
              <w:pStyle w:val="Footer"/>
              <w:rPr>
                <w:rFonts w:ascii="Arial" w:hAnsi="Arial" w:cs="Arial"/>
                <w:sz w:val="16"/>
                <w:szCs w:val="16"/>
              </w:rPr>
            </w:pPr>
            <w:r>
              <w:rPr>
                <w:rFonts w:ascii="Arial" w:hAnsi="Arial" w:cs="Arial"/>
                <w:sz w:val="16"/>
                <w:szCs w:val="16"/>
              </w:rPr>
              <w:t>WFG CLTA10.JCS</w:t>
            </w:r>
            <w:r>
              <w:rPr>
                <w:rFonts w:ascii="Arial" w:hAnsi="Arial" w:cs="Arial"/>
                <w:sz w:val="16"/>
                <w:szCs w:val="16"/>
              </w:rPr>
              <w:tab/>
              <w:t>CLTA GUARANTEE 10 with jacket, conditions and schedules</w:t>
            </w:r>
          </w:p>
          <w:p w:rsidR="00086B4E" w:rsidRPr="00BC34A7" w:rsidRDefault="00536674" w:rsidP="00536674">
            <w:pPr>
              <w:pStyle w:val="Footer"/>
              <w:tabs>
                <w:tab w:val="center" w:pos="5112"/>
              </w:tabs>
              <w:rPr>
                <w:rFonts w:ascii="Arial" w:hAnsi="Arial" w:cs="Arial"/>
                <w:sz w:val="16"/>
                <w:szCs w:val="16"/>
              </w:rPr>
            </w:pPr>
            <w:r>
              <w:rPr>
                <w:rFonts w:ascii="Arial" w:hAnsi="Arial" w:cs="Arial"/>
                <w:sz w:val="16"/>
                <w:szCs w:val="16"/>
              </w:rPr>
              <w:tab/>
            </w:r>
            <w:r>
              <w:rPr>
                <w:rFonts w:ascii="Arial" w:hAnsi="Arial" w:cs="Arial"/>
                <w:sz w:val="16"/>
                <w:szCs w:val="16"/>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49" w:rsidRDefault="00437B49">
      <w:r>
        <w:separator/>
      </w:r>
    </w:p>
  </w:footnote>
  <w:footnote w:type="continuationSeparator" w:id="0">
    <w:p w:rsidR="00437B49" w:rsidRDefault="00437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4E" w:rsidRPr="00957B56" w:rsidRDefault="00437B49" w:rsidP="00086B4E">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3914AB" w:rsidTr="001F1EBF">
      <w:tc>
        <w:tcPr>
          <w:tcW w:w="4345" w:type="dxa"/>
        </w:tcPr>
        <w:p w:rsidR="00086B4E" w:rsidRPr="00957B56" w:rsidRDefault="00C61DB9" w:rsidP="001F1EBF">
          <w:pPr>
            <w:rPr>
              <w:rFonts w:ascii="Arial" w:hAnsi="Arial" w:cs="Arial"/>
              <w:b/>
              <w:color w:val="000000"/>
              <w:sz w:val="20"/>
              <w:szCs w:val="20"/>
            </w:rPr>
          </w:pPr>
          <w:r>
            <w:rPr>
              <w:rFonts w:ascii="Arial" w:hAnsi="Arial" w:cs="Arial"/>
              <w:b/>
              <w:color w:val="000000"/>
              <w:sz w:val="20"/>
              <w:szCs w:val="20"/>
            </w:rPr>
            <w:t xml:space="preserve">Judgment and Tax Lien </w:t>
          </w:r>
          <w:r w:rsidRPr="00957B56">
            <w:rPr>
              <w:rFonts w:ascii="Arial" w:hAnsi="Arial" w:cs="Arial"/>
              <w:b/>
              <w:color w:val="000000"/>
              <w:sz w:val="20"/>
              <w:szCs w:val="20"/>
            </w:rPr>
            <w:t>Guarantee</w:t>
          </w:r>
        </w:p>
      </w:tc>
      <w:tc>
        <w:tcPr>
          <w:tcW w:w="5879" w:type="dxa"/>
        </w:tcPr>
        <w:p w:rsidR="00086B4E" w:rsidRPr="00957B56" w:rsidRDefault="00C61DB9" w:rsidP="001F1EBF">
          <w:pPr>
            <w:jc w:val="right"/>
            <w:rPr>
              <w:rFonts w:ascii="Arial" w:hAnsi="Arial" w:cs="Arial"/>
              <w:b/>
              <w:color w:val="000000"/>
              <w:sz w:val="20"/>
              <w:szCs w:val="20"/>
            </w:rPr>
          </w:pPr>
          <w:r>
            <w:rPr>
              <w:rFonts w:ascii="Arial" w:hAnsi="Arial" w:cs="Arial"/>
              <w:b/>
              <w:color w:val="000000"/>
              <w:sz w:val="20"/>
              <w:szCs w:val="20"/>
            </w:rPr>
            <w:t xml:space="preserve">Guarantee No.:                      </w:t>
          </w:r>
          <w:r w:rsidRPr="00957B56">
            <w:rPr>
              <w:rFonts w:ascii="Arial" w:hAnsi="Arial" w:cs="Arial"/>
              <w:b/>
              <w:color w:val="000000"/>
              <w:sz w:val="20"/>
              <w:szCs w:val="20"/>
            </w:rPr>
            <w:t>]</w:t>
          </w:r>
        </w:p>
      </w:tc>
    </w:tr>
  </w:tbl>
  <w:p w:rsidR="00086B4E" w:rsidRPr="00957B56" w:rsidRDefault="00437B49" w:rsidP="00086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AB"/>
    <w:rsid w:val="003914AB"/>
    <w:rsid w:val="00437B49"/>
    <w:rsid w:val="00536674"/>
    <w:rsid w:val="00C61DB9"/>
    <w:rsid w:val="00D6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7BC5"/>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257BC5"/>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086B4E"/>
    <w:pPr>
      <w:tabs>
        <w:tab w:val="center" w:pos="4680"/>
        <w:tab w:val="right" w:pos="9360"/>
      </w:tabs>
    </w:pPr>
  </w:style>
  <w:style w:type="character" w:customStyle="1" w:styleId="HeaderChar">
    <w:name w:val="Header Char"/>
    <w:basedOn w:val="DefaultParagraphFont"/>
    <w:link w:val="Header"/>
    <w:uiPriority w:val="99"/>
    <w:rsid w:val="00086B4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86B4E"/>
    <w:pPr>
      <w:tabs>
        <w:tab w:val="center" w:pos="4680"/>
        <w:tab w:val="right" w:pos="9360"/>
      </w:tabs>
    </w:pPr>
  </w:style>
  <w:style w:type="character" w:customStyle="1" w:styleId="FooterChar">
    <w:name w:val="Footer Char"/>
    <w:basedOn w:val="DefaultParagraphFont"/>
    <w:link w:val="Footer"/>
    <w:uiPriority w:val="99"/>
    <w:rsid w:val="00086B4E"/>
    <w:rPr>
      <w:rFonts w:ascii="Times New Roman" w:eastAsiaTheme="minorEastAsia" w:hAnsi="Times New Roman" w:cs="Times New Roman"/>
      <w:sz w:val="24"/>
      <w:szCs w:val="24"/>
    </w:rPr>
  </w:style>
  <w:style w:type="table" w:styleId="TableGrid">
    <w:name w:val="Table Grid"/>
    <w:basedOn w:val="TableNormal"/>
    <w:uiPriority w:val="59"/>
    <w:rsid w:val="00086B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6B4E"/>
    <w:pPr>
      <w:spacing w:before="180"/>
    </w:pPr>
    <w:rPr>
      <w:rFonts w:ascii="Arial" w:hAnsi="Arial" w:cs="Arial"/>
    </w:rPr>
  </w:style>
  <w:style w:type="character" w:customStyle="1" w:styleId="BodyTextChar">
    <w:name w:val="Body Text Char"/>
    <w:basedOn w:val="DefaultParagraphFont"/>
    <w:link w:val="BodyText"/>
    <w:uiPriority w:val="99"/>
    <w:semiHidden/>
    <w:rsid w:val="00086B4E"/>
    <w:rPr>
      <w:rFonts w:eastAsiaTheme="minorEastAsia" w:cs="Arial"/>
      <w:sz w:val="24"/>
      <w:szCs w:val="24"/>
    </w:rPr>
  </w:style>
  <w:style w:type="paragraph" w:styleId="BalloonText">
    <w:name w:val="Balloon Text"/>
    <w:basedOn w:val="Normal"/>
    <w:link w:val="BalloonTextChar"/>
    <w:uiPriority w:val="99"/>
    <w:semiHidden/>
    <w:unhideWhenUsed/>
    <w:rsid w:val="00086B4E"/>
    <w:rPr>
      <w:rFonts w:ascii="Tahoma" w:hAnsi="Tahoma" w:cs="Tahoma"/>
      <w:sz w:val="16"/>
      <w:szCs w:val="16"/>
    </w:rPr>
  </w:style>
  <w:style w:type="character" w:customStyle="1" w:styleId="BalloonTextChar">
    <w:name w:val="Balloon Text Char"/>
    <w:basedOn w:val="DefaultParagraphFont"/>
    <w:link w:val="BalloonText"/>
    <w:uiPriority w:val="99"/>
    <w:semiHidden/>
    <w:rsid w:val="00086B4E"/>
    <w:rPr>
      <w:rFonts w:ascii="Tahoma" w:eastAsiaTheme="minorEastAsia" w:hAnsi="Tahoma" w:cs="Tahoma"/>
      <w:sz w:val="16"/>
      <w:szCs w:val="16"/>
    </w:rPr>
  </w:style>
  <w:style w:type="paragraph" w:customStyle="1" w:styleId="HeadingLevel2">
    <w:name w:val="Heading Level 2"/>
    <w:uiPriority w:val="99"/>
    <w:rsid w:val="00086B4E"/>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7BC5"/>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257BC5"/>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086B4E"/>
    <w:pPr>
      <w:tabs>
        <w:tab w:val="center" w:pos="4680"/>
        <w:tab w:val="right" w:pos="9360"/>
      </w:tabs>
    </w:pPr>
  </w:style>
  <w:style w:type="character" w:customStyle="1" w:styleId="HeaderChar">
    <w:name w:val="Header Char"/>
    <w:basedOn w:val="DefaultParagraphFont"/>
    <w:link w:val="Header"/>
    <w:uiPriority w:val="99"/>
    <w:rsid w:val="00086B4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86B4E"/>
    <w:pPr>
      <w:tabs>
        <w:tab w:val="center" w:pos="4680"/>
        <w:tab w:val="right" w:pos="9360"/>
      </w:tabs>
    </w:pPr>
  </w:style>
  <w:style w:type="character" w:customStyle="1" w:styleId="FooterChar">
    <w:name w:val="Footer Char"/>
    <w:basedOn w:val="DefaultParagraphFont"/>
    <w:link w:val="Footer"/>
    <w:uiPriority w:val="99"/>
    <w:rsid w:val="00086B4E"/>
    <w:rPr>
      <w:rFonts w:ascii="Times New Roman" w:eastAsiaTheme="minorEastAsia" w:hAnsi="Times New Roman" w:cs="Times New Roman"/>
      <w:sz w:val="24"/>
      <w:szCs w:val="24"/>
    </w:rPr>
  </w:style>
  <w:style w:type="table" w:styleId="TableGrid">
    <w:name w:val="Table Grid"/>
    <w:basedOn w:val="TableNormal"/>
    <w:uiPriority w:val="59"/>
    <w:rsid w:val="00086B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6B4E"/>
    <w:pPr>
      <w:spacing w:before="180"/>
    </w:pPr>
    <w:rPr>
      <w:rFonts w:ascii="Arial" w:hAnsi="Arial" w:cs="Arial"/>
    </w:rPr>
  </w:style>
  <w:style w:type="character" w:customStyle="1" w:styleId="BodyTextChar">
    <w:name w:val="Body Text Char"/>
    <w:basedOn w:val="DefaultParagraphFont"/>
    <w:link w:val="BodyText"/>
    <w:uiPriority w:val="99"/>
    <w:semiHidden/>
    <w:rsid w:val="00086B4E"/>
    <w:rPr>
      <w:rFonts w:eastAsiaTheme="minorEastAsia" w:cs="Arial"/>
      <w:sz w:val="24"/>
      <w:szCs w:val="24"/>
    </w:rPr>
  </w:style>
  <w:style w:type="paragraph" w:styleId="BalloonText">
    <w:name w:val="Balloon Text"/>
    <w:basedOn w:val="Normal"/>
    <w:link w:val="BalloonTextChar"/>
    <w:uiPriority w:val="99"/>
    <w:semiHidden/>
    <w:unhideWhenUsed/>
    <w:rsid w:val="00086B4E"/>
    <w:rPr>
      <w:rFonts w:ascii="Tahoma" w:hAnsi="Tahoma" w:cs="Tahoma"/>
      <w:sz w:val="16"/>
      <w:szCs w:val="16"/>
    </w:rPr>
  </w:style>
  <w:style w:type="character" w:customStyle="1" w:styleId="BalloonTextChar">
    <w:name w:val="Balloon Text Char"/>
    <w:basedOn w:val="DefaultParagraphFont"/>
    <w:link w:val="BalloonText"/>
    <w:uiPriority w:val="99"/>
    <w:semiHidden/>
    <w:rsid w:val="00086B4E"/>
    <w:rPr>
      <w:rFonts w:ascii="Tahoma" w:eastAsiaTheme="minorEastAsia" w:hAnsi="Tahoma" w:cs="Tahoma"/>
      <w:sz w:val="16"/>
      <w:szCs w:val="16"/>
    </w:rPr>
  </w:style>
  <w:style w:type="paragraph" w:customStyle="1" w:styleId="HeadingLevel2">
    <w:name w:val="Heading Level 2"/>
    <w:uiPriority w:val="99"/>
    <w:rsid w:val="00086B4E"/>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2015-07-22T18:08:00Z</dcterms:created>
  <dcterms:modified xsi:type="dcterms:W3CDTF">2015-07-22T18:08:00Z</dcterms:modified>
</cp:coreProperties>
</file>